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0"/>
        <w:rPr>
          <w:rFonts w:ascii="Times New Roman"/>
          <w:b w:val="0"/>
          <w:sz w:val="26"/>
        </w:rPr>
      </w:pPr>
    </w:p>
    <w:p>
      <w:pPr>
        <w:spacing w:before="55"/>
        <w:ind w:left="220" w:right="0" w:firstLine="0"/>
        <w:jc w:val="lef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 2</w:t>
      </w:r>
    </w:p>
    <w:p>
      <w:pPr>
        <w:pStyle w:val="BodyText"/>
        <w:rPr>
          <w:rFonts w:ascii="黑体"/>
          <w:b w:val="0"/>
          <w:sz w:val="20"/>
        </w:rPr>
      </w:pPr>
    </w:p>
    <w:p>
      <w:pPr>
        <w:pStyle w:val="BodyText"/>
        <w:rPr>
          <w:rFonts w:ascii="黑体"/>
          <w:b w:val="0"/>
          <w:sz w:val="23"/>
        </w:rPr>
      </w:pPr>
    </w:p>
    <w:p>
      <w:pPr>
        <w:spacing w:before="37"/>
        <w:ind w:left="3440" w:right="3280" w:firstLine="0"/>
        <w:jc w:val="center"/>
        <w:rPr>
          <w:sz w:val="44"/>
        </w:rPr>
      </w:pPr>
      <w:r>
        <w:rPr>
          <w:sz w:val="44"/>
        </w:rPr>
        <w:t>债权投资计划募集说明书信息披露指引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0" w:after="0"/>
        <w:rPr>
          <w:sz w:val="2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6095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0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0"/>
              <w:ind w:left="88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</w:tcPr>
          <w:p>
            <w:pPr>
              <w:pStyle w:val="TableParagraph"/>
              <w:spacing w:before="20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1247" w:hRule="atLeast"/>
        </w:trPr>
        <w:tc>
          <w:tcPr>
            <w:tcW w:w="959" w:type="dxa"/>
          </w:tcPr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spacing w:line="278" w:lineRule="auto"/>
              <w:ind w:left="268" w:right="97" w:hanging="161"/>
              <w:rPr>
                <w:b/>
                <w:sz w:val="21"/>
              </w:rPr>
            </w:pPr>
            <w:r>
              <w:rPr>
                <w:b/>
                <w:spacing w:val="-50"/>
                <w:sz w:val="21"/>
              </w:rPr>
              <w:t>封面</w:t>
            </w:r>
            <w:r>
              <w:rPr>
                <w:b/>
                <w:sz w:val="21"/>
              </w:rPr>
              <w:t>（</w:t>
            </w:r>
            <w:r>
              <w:rPr>
                <w:b/>
                <w:spacing w:val="-16"/>
                <w:sz w:val="21"/>
              </w:rPr>
              <w:t>封</w:t>
            </w:r>
            <w:r>
              <w:rPr>
                <w:b/>
                <w:sz w:val="21"/>
              </w:rPr>
              <w:t>一）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88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封面</w:t>
            </w:r>
          </w:p>
        </w:tc>
        <w:tc>
          <w:tcPr>
            <w:tcW w:w="6095" w:type="dxa"/>
          </w:tcPr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spacing w:line="278" w:lineRule="auto"/>
              <w:ind w:left="107" w:right="98"/>
              <w:rPr>
                <w:sz w:val="21"/>
              </w:rPr>
            </w:pPr>
            <w:r>
              <w:rPr>
                <w:spacing w:val="-4"/>
                <w:sz w:val="21"/>
              </w:rPr>
              <w:t>应当标有“</w:t>
            </w:r>
            <w:r>
              <w:rPr>
                <w:sz w:val="21"/>
              </w:rPr>
              <w:t>XX-XX</w:t>
            </w:r>
            <w:r>
              <w:rPr>
                <w:spacing w:val="-11"/>
                <w:sz w:val="21"/>
              </w:rPr>
              <w:t> 债权投资计划募集说明书 ”的字样，载明受托人全称、募集说明书签署日期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0"/>
              <w:ind w:left="108" w:right="92"/>
              <w:jc w:val="both"/>
              <w:rPr>
                <w:sz w:val="21"/>
              </w:rPr>
            </w:pPr>
            <w:r>
              <w:rPr>
                <w:sz w:val="21"/>
              </w:rPr>
              <w:t>债权投资计划命名应当按照“机构简称-XX 债权投资计划” 方式命名, 不得直接以投资领域、专有名词等命名，例如： </w:t>
            </w:r>
            <w:r>
              <w:rPr>
                <w:w w:val="95"/>
                <w:sz w:val="21"/>
              </w:rPr>
              <w:t>机构简称-国家重大工程债权计划，机构简称-不动产债权计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划，以国家型项目命名的，需提供相关批复文件。</w:t>
            </w:r>
          </w:p>
        </w:tc>
      </w:tr>
      <w:tr>
        <w:trPr>
          <w:trHeight w:val="312" w:hRule="atLeast"/>
        </w:trPr>
        <w:tc>
          <w:tcPr>
            <w:tcW w:w="95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为保护委托人及受益人的合法权益，明确债权投资计划当事人的</w:t>
            </w:r>
          </w:p>
        </w:tc>
        <w:tc>
          <w:tcPr>
            <w:tcW w:w="56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权利和义务，规范债权投资计划运作，【受托人名称】将在募集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107" w:right="-15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范围内公布本募集说明书，并与委托人分别签署</w:t>
            </w:r>
            <w:r>
              <w:rPr>
                <w:w w:val="95"/>
                <w:sz w:val="21"/>
              </w:rPr>
              <w:t>（包括视为签署）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《受托合同》。本募集说明书与《受托合同》内容不一致之处，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以《受托合同》为准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产品登记不代表中国银保监会指定机构对本产品的合法合规性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扉页</w:t>
            </w: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声明与提示</w:t>
            </w:r>
          </w:p>
        </w:tc>
        <w:tc>
          <w:tcPr>
            <w:tcW w:w="6095" w:type="dxa"/>
            <w:tcBorders>
              <w:top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以及投资价值和风险进行了实质性判断</w:t>
            </w:r>
          </w:p>
        </w:tc>
        <w:tc>
          <w:tcPr>
            <w:tcW w:w="567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法定代表人/授权代表签字并加盖公司公章。</w:t>
            </w: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委托人和/或受益人投资本产品应当认真阅读本募集说明书及有</w:t>
            </w:r>
          </w:p>
        </w:tc>
        <w:tc>
          <w:tcPr>
            <w:tcW w:w="567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关的信息披露文件，对信息披露的真实性、准确性和完整性进行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独立分析和独立的投资判断，应当根据自身能力审慎决策，独立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承担投资风险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受托人承诺具备开展债权投资计划业务的相应条件，符合监管要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求的业务资质，履行监管要求的相应职责，债权投资计划不存在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95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监管规定的禁止性行为</w:t>
            </w:r>
          </w:p>
        </w:tc>
        <w:tc>
          <w:tcPr>
            <w:tcW w:w="567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142" w:right="1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88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1560" w:hRule="atLeast"/>
        </w:trPr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line="278" w:lineRule="auto" w:before="20"/>
              <w:ind w:left="107" w:right="98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>受托人承诺本募集说明书不存在虚假记载、误导性陈述或重大遗 漏，受托人保证将以诚实信用、谨慎勤勉的原则管理、运用和处 分债权投资计划财产，本募集说明书对债权投资计划未来的收益 预算仅供委托人及受益人参考，不构成受托人保证委托资金不受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损失或取得最低收益的实质性承诺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</w:tcPr>
          <w:p>
            <w:pPr>
              <w:pStyle w:val="TableParagraph"/>
              <w:spacing w:before="20"/>
              <w:ind w:left="142" w:right="1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目录</w:t>
            </w:r>
          </w:p>
        </w:tc>
        <w:tc>
          <w:tcPr>
            <w:tcW w:w="1276" w:type="dxa"/>
          </w:tcPr>
          <w:p>
            <w:pPr>
              <w:pStyle w:val="TableParagraph"/>
              <w:spacing w:before="20"/>
              <w:ind w:left="88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目录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标明各章、节的标题及相应的页码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</w:tcPr>
          <w:p>
            <w:pPr>
              <w:pStyle w:val="TableParagraph"/>
              <w:spacing w:before="176"/>
              <w:ind w:left="142" w:right="1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第一章</w:t>
            </w:r>
          </w:p>
        </w:tc>
        <w:tc>
          <w:tcPr>
            <w:tcW w:w="1276" w:type="dxa"/>
          </w:tcPr>
          <w:p>
            <w:pPr>
              <w:pStyle w:val="TableParagraph"/>
              <w:spacing w:before="176"/>
              <w:ind w:left="88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1.释义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1.1 对可能引起投资者理解障碍及有特定含义的名称缩写、专有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名词等做出释义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第二章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78" w:lineRule="auto"/>
              <w:ind w:left="322" w:right="96" w:hanging="209"/>
              <w:rPr>
                <w:b/>
                <w:sz w:val="21"/>
              </w:rPr>
            </w:pPr>
            <w:r>
              <w:rPr>
                <w:b/>
                <w:sz w:val="21"/>
              </w:rPr>
              <w:t>2.风险提示及说明</w:t>
            </w:r>
          </w:p>
        </w:tc>
        <w:tc>
          <w:tcPr>
            <w:tcW w:w="1984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2.1 与投资计划相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关的风险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0" w:val="left" w:leader="none"/>
              </w:tabs>
              <w:spacing w:line="240" w:lineRule="auto" w:before="1" w:after="0"/>
              <w:ind w:left="319" w:right="0" w:hanging="212"/>
              <w:jc w:val="left"/>
              <w:rPr>
                <w:sz w:val="21"/>
              </w:rPr>
            </w:pPr>
            <w:r>
              <w:rPr>
                <w:sz w:val="21"/>
              </w:rPr>
              <w:t>披露内容应至少包括但不限于风险评估报告内容；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0" w:val="left" w:leader="none"/>
              </w:tabs>
              <w:spacing w:line="278" w:lineRule="auto" w:before="43" w:after="0"/>
              <w:ind w:left="108" w:right="195" w:firstLine="0"/>
              <w:jc w:val="left"/>
              <w:rPr>
                <w:sz w:val="21"/>
              </w:rPr>
            </w:pPr>
            <w:r>
              <w:rPr>
                <w:w w:val="95"/>
                <w:sz w:val="21"/>
              </w:rPr>
              <w:t>对各项风险因素能做出定量分析的,应进行定量分析；不 能做出定量分析的,应进行客观的定性描述；不应只列示风 </w:t>
            </w:r>
            <w:r>
              <w:rPr>
                <w:sz w:val="21"/>
              </w:rPr>
              <w:t>险种类，应用粗体明确提示风险具体内容和可能产生的后果。</w:t>
            </w:r>
          </w:p>
        </w:tc>
      </w:tr>
      <w:tr>
        <w:trPr>
          <w:trHeight w:val="62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2.2 与投资计划相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关的主体风险</w:t>
            </w:r>
          </w:p>
        </w:tc>
        <w:tc>
          <w:tcPr>
            <w:tcW w:w="4111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1、融资主体风险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2、其他主体风险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2.3 与投资项目相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关的风险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2.4 信用增进（如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有）相关的风险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2.5 不可抗力风险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2.6 其他风险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8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2.7 风险管理措施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2"/>
              <w:ind w:left="107" w:right="98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披露风险的相应对策，即风险控制措施，应</w:t>
            </w:r>
            <w:r>
              <w:rPr>
                <w:spacing w:val="-8"/>
                <w:sz w:val="21"/>
              </w:rPr>
              <w:t>当主要披露针对风险已经采取及后续拟采</w:t>
            </w:r>
            <w:r>
              <w:rPr>
                <w:spacing w:val="-13"/>
                <w:w w:val="95"/>
                <w:sz w:val="21"/>
              </w:rPr>
              <w:t>取的具体措施，并提示投资人认真阅读相关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内容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第三章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8" w:lineRule="auto" w:before="1"/>
              <w:ind w:left="427" w:right="96" w:hanging="315"/>
              <w:rPr>
                <w:b/>
                <w:sz w:val="21"/>
              </w:rPr>
            </w:pPr>
            <w:r>
              <w:rPr>
                <w:b/>
                <w:sz w:val="21"/>
              </w:rPr>
              <w:t>3.投资计划概要</w:t>
            </w: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3.1</w:t>
            </w:r>
            <w:r>
              <w:rPr>
                <w:spacing w:val="-12"/>
                <w:sz w:val="21"/>
              </w:rPr>
              <w:t> 基本情况</w:t>
            </w:r>
            <w:r>
              <w:rPr>
                <w:sz w:val="21"/>
              </w:rPr>
              <w:t>（表）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3.2 资金用途及金</w:t>
            </w:r>
          </w:p>
          <w:p>
            <w:pPr>
              <w:pStyle w:val="TableParagraph"/>
              <w:spacing w:line="269" w:lineRule="exact" w:before="43"/>
              <w:ind w:left="107"/>
              <w:rPr>
                <w:sz w:val="21"/>
              </w:rPr>
            </w:pPr>
            <w:r>
              <w:rPr>
                <w:w w:val="99"/>
                <w:sz w:val="21"/>
              </w:rPr>
              <w:t>额</w:t>
            </w:r>
          </w:p>
        </w:tc>
        <w:tc>
          <w:tcPr>
            <w:tcW w:w="4111" w:type="dxa"/>
          </w:tcPr>
          <w:p>
            <w:pPr>
              <w:pStyle w:val="TableParagraph"/>
              <w:spacing w:before="177"/>
              <w:ind w:left="107"/>
              <w:rPr>
                <w:sz w:val="21"/>
              </w:rPr>
            </w:pPr>
            <w:r>
              <w:rPr>
                <w:sz w:val="21"/>
              </w:rPr>
              <w:t>说明投资计划目的并列明详细的资金用途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z w:val="21"/>
              </w:rPr>
              <w:t>资金用途包含补充营运资金的,应明确说明金额及用途；存</w:t>
            </w:r>
          </w:p>
          <w:p>
            <w:pPr>
              <w:pStyle w:val="TableParagraph"/>
              <w:spacing w:line="269" w:lineRule="exact" w:before="43"/>
              <w:ind w:left="108"/>
              <w:rPr>
                <w:sz w:val="21"/>
              </w:rPr>
            </w:pPr>
            <w:r>
              <w:rPr>
                <w:sz w:val="21"/>
              </w:rPr>
              <w:t>在两个以上（含）资金用途的，应明确各资金用途对应的债</w:t>
            </w:r>
          </w:p>
        </w:tc>
      </w:tr>
    </w:tbl>
    <w:p>
      <w:pPr>
        <w:spacing w:after="0" w:line="269" w:lineRule="exact"/>
        <w:rPr>
          <w:sz w:val="21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311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权资金额度。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3.3 资金划转方式</w:t>
            </w: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说明资金划转方式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融资主体和项目公司主体不一致的情况下，须详细披露清楚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资金使用及归还路径。</w:t>
            </w:r>
          </w:p>
        </w:tc>
      </w:tr>
      <w:tr>
        <w:trPr>
          <w:trHeight w:val="62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3.4 资金监管措施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投资一组项目的，应明确子项目财务账户开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立情况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95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3.5 资金监管协议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（如有）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8" w:lineRule="auto"/>
              <w:ind w:left="107" w:right="98"/>
              <w:jc w:val="both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受托人应与商业银行、担保人</w:t>
            </w:r>
            <w:r>
              <w:rPr>
                <w:w w:val="95"/>
                <w:sz w:val="21"/>
              </w:rPr>
              <w:t>（如需</w:t>
            </w:r>
            <w:r>
              <w:rPr>
                <w:spacing w:val="-25"/>
                <w:w w:val="95"/>
                <w:sz w:val="21"/>
              </w:rPr>
              <w:t>）</w:t>
            </w:r>
            <w:r>
              <w:rPr>
                <w:spacing w:val="-11"/>
                <w:w w:val="95"/>
                <w:sz w:val="21"/>
              </w:rPr>
              <w:t>、融</w:t>
            </w:r>
            <w:r>
              <w:rPr>
                <w:spacing w:val="-12"/>
                <w:w w:val="95"/>
                <w:sz w:val="21"/>
              </w:rPr>
              <w:t>资主体、项目方</w:t>
            </w:r>
            <w:r>
              <w:rPr>
                <w:w w:val="95"/>
                <w:sz w:val="21"/>
              </w:rPr>
              <w:t>（如需</w:t>
            </w:r>
            <w:r>
              <w:rPr>
                <w:spacing w:val="-25"/>
                <w:w w:val="95"/>
                <w:sz w:val="21"/>
              </w:rPr>
              <w:t>）</w:t>
            </w:r>
            <w:r>
              <w:rPr>
                <w:spacing w:val="-5"/>
                <w:w w:val="95"/>
                <w:sz w:val="21"/>
              </w:rPr>
              <w:t>等签订《资金监管</w:t>
            </w:r>
            <w:r>
              <w:rPr>
                <w:spacing w:val="-5"/>
                <w:sz w:val="21"/>
              </w:rPr>
              <w:t>协议》</w:t>
            </w:r>
          </w:p>
        </w:tc>
        <w:tc>
          <w:tcPr>
            <w:tcW w:w="5670" w:type="dxa"/>
          </w:tcPr>
          <w:p>
            <w:pPr>
              <w:pStyle w:val="TableParagraph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资金监管协议的签署应至少满足以下要求：</w:t>
            </w:r>
          </w:p>
          <w:p>
            <w:pPr>
              <w:pStyle w:val="TableParagraph"/>
              <w:spacing w:line="278" w:lineRule="auto" w:before="43"/>
              <w:ind w:left="108" w:right="99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一、明确约定“对投资资金实施专款专用，封闭管理，不得 </w:t>
            </w:r>
            <w:r>
              <w:rPr>
                <w:spacing w:val="-1"/>
                <w:sz w:val="21"/>
              </w:rPr>
              <w:t>挪用”；</w:t>
            </w:r>
          </w:p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二、资金用途为偿还金融机构借款的，应当在《资金监管协 </w:t>
            </w:r>
            <w:r>
              <w:rPr>
                <w:spacing w:val="-1"/>
                <w:sz w:val="21"/>
              </w:rPr>
              <w:t>议》中列明拟偿还金融机构借款的银行账户信息；</w:t>
            </w:r>
          </w:p>
          <w:p>
            <w:pPr>
              <w:pStyle w:val="TableParagraph"/>
              <w:spacing w:line="278" w:lineRule="auto"/>
              <w:ind w:left="108" w:right="92"/>
              <w:rPr>
                <w:sz w:val="21"/>
              </w:rPr>
            </w:pPr>
            <w:r>
              <w:rPr>
                <w:w w:val="95"/>
                <w:sz w:val="21"/>
              </w:rPr>
              <w:t>三、明确约定资金划转路径并落实受托人的主动管理责任； 四、包含子项目的，应在《资金监管协议》中列明子账户信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息，做到专款专用，不得混用。</w:t>
            </w: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3.6 投资期限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3.7 投资资金利率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z w:val="21"/>
              </w:rPr>
              <w:t>投资资金利率以投资合同约定的利率为准。</w:t>
            </w:r>
          </w:p>
        </w:tc>
      </w:tr>
      <w:tr>
        <w:trPr>
          <w:trHeight w:val="62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3.8 产品费用与税</w:t>
            </w:r>
          </w:p>
          <w:p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w w:val="99"/>
                <w:sz w:val="21"/>
              </w:rPr>
              <w:t>收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z w:val="21"/>
              </w:rPr>
              <w:t>投资计划的费用种类，费率及费用承担主体；投资计划的税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sz w:val="21"/>
              </w:rPr>
              <w:t>收种类，税率及税收承担主体。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3.9 分配规则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要求遵循公平原则，向各类型投资者充分披露信息，包括但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不限于时间、方式等。</w:t>
            </w: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3.10 账户管理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3.11 拟投行业</w:t>
            </w:r>
          </w:p>
        </w:tc>
        <w:tc>
          <w:tcPr>
            <w:tcW w:w="4111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说明投资计划拟投行业是否符合国家法律</w:t>
            </w:r>
          </w:p>
          <w:p>
            <w:pPr>
              <w:pStyle w:val="TableParagraph"/>
              <w:spacing w:line="310" w:lineRule="atLeast" w:before="2"/>
              <w:ind w:left="107" w:right="98"/>
              <w:rPr>
                <w:sz w:val="21"/>
              </w:rPr>
            </w:pPr>
            <w:r>
              <w:rPr>
                <w:spacing w:val="-11"/>
                <w:w w:val="95"/>
                <w:sz w:val="21"/>
              </w:rPr>
              <w:t>法规、产业政策以及保险资金投资范围等相</w:t>
            </w:r>
            <w:r>
              <w:rPr>
                <w:spacing w:val="-11"/>
                <w:sz w:val="21"/>
              </w:rPr>
              <w:t>关要求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177"/>
              <w:ind w:left="107"/>
              <w:rPr>
                <w:sz w:val="21"/>
              </w:rPr>
            </w:pPr>
            <w:r>
              <w:rPr>
                <w:sz w:val="21"/>
              </w:rPr>
              <w:t>3.12 交易结构</w:t>
            </w:r>
          </w:p>
        </w:tc>
        <w:tc>
          <w:tcPr>
            <w:tcW w:w="4111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交易结构图、交易结构概述、交易相关方所</w:t>
            </w:r>
          </w:p>
          <w:p>
            <w:pPr>
              <w:pStyle w:val="TableParagraph"/>
              <w:spacing w:line="268" w:lineRule="exact" w:before="43"/>
              <w:ind w:left="107"/>
              <w:rPr>
                <w:sz w:val="21"/>
              </w:rPr>
            </w:pPr>
            <w:r>
              <w:rPr>
                <w:sz w:val="21"/>
              </w:rPr>
              <w:t>担任的角色和相关权利义务的说明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1560" w:hRule="atLeast"/>
        </w:trPr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8" w:lineRule="auto" w:before="1"/>
              <w:ind w:left="107" w:right="68"/>
              <w:rPr>
                <w:sz w:val="21"/>
              </w:rPr>
            </w:pPr>
            <w:r>
              <w:rPr>
                <w:sz w:val="21"/>
              </w:rPr>
              <w:t>3.13 法律文件签署情况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0"/>
              <w:ind w:left="107" w:right="2"/>
              <w:rPr>
                <w:sz w:val="21"/>
              </w:rPr>
            </w:pPr>
            <w:r>
              <w:rPr>
                <w:spacing w:val="-10"/>
                <w:sz w:val="21"/>
              </w:rPr>
              <w:t>法律文件签署情况：对法律合同的签署情况</w:t>
            </w:r>
            <w:r>
              <w:rPr>
                <w:spacing w:val="-10"/>
                <w:w w:val="95"/>
                <w:sz w:val="21"/>
              </w:rPr>
              <w:t>的说明包括但不限于投资协议、托管合同、</w:t>
            </w:r>
            <w:r>
              <w:rPr>
                <w:spacing w:val="-10"/>
                <w:sz w:val="21"/>
              </w:rPr>
              <w:t>担保函/</w:t>
            </w:r>
            <w:r>
              <w:rPr>
                <w:spacing w:val="-27"/>
                <w:sz w:val="21"/>
              </w:rPr>
              <w:t>担保合同</w:t>
            </w:r>
            <w:r>
              <w:rPr>
                <w:spacing w:val="-3"/>
                <w:sz w:val="21"/>
              </w:rPr>
              <w:t>（</w:t>
            </w:r>
            <w:r>
              <w:rPr>
                <w:sz w:val="21"/>
              </w:rPr>
              <w:t>如有</w:t>
            </w:r>
            <w:r>
              <w:rPr>
                <w:spacing w:val="-77"/>
                <w:sz w:val="21"/>
              </w:rPr>
              <w:t>）</w:t>
            </w:r>
            <w:r>
              <w:rPr>
                <w:spacing w:val="-40"/>
                <w:sz w:val="21"/>
              </w:rPr>
              <w:t>、抵</w:t>
            </w:r>
            <w:r>
              <w:rPr>
                <w:sz w:val="21"/>
              </w:rPr>
              <w:t>/</w:t>
            </w:r>
            <w:r>
              <w:rPr>
                <w:spacing w:val="-17"/>
                <w:sz w:val="21"/>
              </w:rPr>
              <w:t>质押合同</w:t>
            </w:r>
            <w:r>
              <w:rPr>
                <w:sz w:val="21"/>
              </w:rPr>
              <w:t>（如有</w:t>
            </w:r>
            <w:r>
              <w:rPr>
                <w:spacing w:val="-22"/>
                <w:sz w:val="21"/>
              </w:rPr>
              <w:t>）</w:t>
            </w:r>
            <w:r>
              <w:rPr>
                <w:spacing w:val="-10"/>
                <w:sz w:val="21"/>
              </w:rPr>
              <w:t>、独立监督合同、受托合同、资金监管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协议（如有）等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6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第四章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4.合规情况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4.1 合规自查表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披露合规自查表并填写备注内容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4.2 决策流程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0"/>
              <w:ind w:left="107" w:right="98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披露受托人、融资主体、担保人</w:t>
            </w:r>
            <w:r>
              <w:rPr>
                <w:w w:val="95"/>
                <w:sz w:val="21"/>
              </w:rPr>
              <w:t>（如有</w:t>
            </w:r>
            <w:r>
              <w:rPr>
                <w:spacing w:val="-22"/>
                <w:w w:val="95"/>
                <w:sz w:val="21"/>
              </w:rPr>
              <w:t>）</w:t>
            </w:r>
            <w:r>
              <w:rPr>
                <w:w w:val="95"/>
                <w:sz w:val="21"/>
              </w:rPr>
              <w:t>的</w:t>
            </w:r>
            <w:r>
              <w:rPr>
                <w:spacing w:val="-10"/>
                <w:w w:val="95"/>
                <w:sz w:val="21"/>
              </w:rPr>
              <w:t>内部决策流程；非法定代表人签署的法律文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件的内部授权情况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60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4.3 关联关系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2"/>
              <w:ind w:left="107" w:right="98"/>
              <w:rPr>
                <w:sz w:val="21"/>
              </w:rPr>
            </w:pPr>
            <w:r>
              <w:rPr>
                <w:sz w:val="21"/>
              </w:rPr>
              <w:t>全面陈述各方当事人之间存在的关联关系</w:t>
            </w:r>
            <w:r>
              <w:rPr>
                <w:spacing w:val="-10"/>
                <w:w w:val="95"/>
                <w:sz w:val="21"/>
              </w:rPr>
              <w:t>及关联交易，并对是否符合相关监管规定进 </w:t>
            </w:r>
            <w:r>
              <w:rPr>
                <w:spacing w:val="-14"/>
                <w:w w:val="95"/>
                <w:sz w:val="21"/>
              </w:rPr>
              <w:t>行论述并出具明确意见，受托人应承诺在产 </w:t>
            </w:r>
            <w:r>
              <w:rPr>
                <w:spacing w:val="-13"/>
                <w:w w:val="95"/>
                <w:sz w:val="21"/>
              </w:rPr>
              <w:t>品设立、发行、投资全流程中，持续监测并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定期报告关联交易有关情况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4.4 投资者范围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1"/>
              <w:ind w:left="107" w:right="98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明确投资者范围符合《保险资产管理产品管 </w:t>
            </w:r>
            <w:r>
              <w:rPr>
                <w:spacing w:val="-13"/>
                <w:w w:val="95"/>
                <w:sz w:val="21"/>
              </w:rPr>
              <w:t>理暂行办法》等相关监管文件对于投资者资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质的要求，披露是否包括保险资金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5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177"/>
              <w:ind w:left="107"/>
              <w:rPr>
                <w:sz w:val="21"/>
              </w:rPr>
            </w:pPr>
            <w:r>
              <w:rPr>
                <w:sz w:val="21"/>
              </w:rPr>
              <w:t>4.5 其他合规情况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（如有）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1"/>
              <w:ind w:left="107" w:right="98"/>
              <w:rPr>
                <w:sz w:val="21"/>
              </w:rPr>
            </w:pPr>
            <w:r>
              <w:rPr>
                <w:spacing w:val="-9"/>
                <w:w w:val="95"/>
                <w:sz w:val="21"/>
              </w:rPr>
              <w:t>包括但不限于：涉及融资主体、担保人</w:t>
            </w:r>
            <w:r>
              <w:rPr>
                <w:w w:val="95"/>
                <w:sz w:val="21"/>
              </w:rPr>
              <w:t>（如有</w:t>
            </w:r>
            <w:r>
              <w:rPr>
                <w:spacing w:val="-22"/>
                <w:w w:val="95"/>
                <w:sz w:val="21"/>
              </w:rPr>
              <w:t>）</w:t>
            </w:r>
            <w:r>
              <w:rPr>
                <w:spacing w:val="-10"/>
                <w:w w:val="95"/>
                <w:sz w:val="21"/>
              </w:rPr>
              <w:t>、项目公司</w:t>
            </w:r>
            <w:r>
              <w:rPr>
                <w:w w:val="95"/>
                <w:sz w:val="21"/>
              </w:rPr>
              <w:t>（如有</w:t>
            </w:r>
            <w:r>
              <w:rPr>
                <w:spacing w:val="-22"/>
                <w:w w:val="95"/>
                <w:sz w:val="21"/>
              </w:rPr>
              <w:t>）</w:t>
            </w:r>
            <w:r>
              <w:rPr>
                <w:w w:val="95"/>
                <w:sz w:val="21"/>
              </w:rPr>
              <w:t>等相关主体经营业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务的合法合规性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第五章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78" w:lineRule="auto" w:before="1"/>
              <w:ind w:left="322" w:right="96" w:hanging="209"/>
              <w:rPr>
                <w:b/>
                <w:sz w:val="21"/>
              </w:rPr>
            </w:pPr>
            <w:r>
              <w:rPr>
                <w:b/>
                <w:sz w:val="21"/>
              </w:rPr>
              <w:t>5.产品各方当事人</w:t>
            </w:r>
          </w:p>
        </w:tc>
        <w:tc>
          <w:tcPr>
            <w:tcW w:w="198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5.1 受托人</w:t>
            </w:r>
          </w:p>
        </w:tc>
        <w:tc>
          <w:tcPr>
            <w:tcW w:w="4111" w:type="dxa"/>
          </w:tcPr>
          <w:p>
            <w:pPr>
              <w:pStyle w:val="TableParagraph"/>
              <w:spacing w:before="177"/>
              <w:ind w:left="107"/>
              <w:rPr>
                <w:sz w:val="21"/>
              </w:rPr>
            </w:pPr>
            <w:r>
              <w:rPr>
                <w:sz w:val="21"/>
              </w:rPr>
              <w:t>5.1.1 基本情况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注册名称，法定代表人，注册资本，经营范围，设立</w:t>
            </w:r>
            <w:r>
              <w:rPr>
                <w:w w:val="95"/>
                <w:sz w:val="21"/>
              </w:rPr>
              <w:t>（工商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w w:val="95"/>
                <w:sz w:val="21"/>
              </w:rPr>
              <w:t>注册）日期，工商登记号，住所及其邮政编码，联系方式。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5.1.2 历史沿革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历史上改制、重大增减资、合并、分立、破产重整及更名等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代表企业阶段性进程的重要事件（如有）。</w:t>
            </w:r>
          </w:p>
        </w:tc>
      </w:tr>
      <w:tr>
        <w:trPr>
          <w:trHeight w:val="310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5.1.3 过往管理经验（选择性披露）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受托人发行债权投资计划的历史情况（选择性披露）。</w:t>
            </w:r>
          </w:p>
        </w:tc>
      </w:tr>
    </w:tbl>
    <w:p>
      <w:pPr>
        <w:spacing w:after="0"/>
        <w:rPr>
          <w:sz w:val="21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311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5.1.4 资质能力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明确受托人开展债权投资计划的业务资质取得情况。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87"/>
              <w:rPr>
                <w:sz w:val="21"/>
              </w:rPr>
            </w:pPr>
            <w:r>
              <w:rPr>
                <w:sz w:val="21"/>
              </w:rPr>
              <w:t>5.2 融资主体</w:t>
            </w: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5.2.1 基本情况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 w:right="-15"/>
              <w:rPr>
                <w:sz w:val="21"/>
              </w:rPr>
            </w:pPr>
            <w:r>
              <w:rPr>
                <w:spacing w:val="-9"/>
                <w:w w:val="95"/>
                <w:sz w:val="21"/>
              </w:rPr>
              <w:t>注册名称，法定代表人，注册资本，设立</w:t>
            </w:r>
            <w:r>
              <w:rPr>
                <w:w w:val="95"/>
                <w:sz w:val="21"/>
              </w:rPr>
              <w:t>（工商注册</w:t>
            </w:r>
            <w:r>
              <w:rPr>
                <w:spacing w:val="-22"/>
                <w:w w:val="95"/>
                <w:sz w:val="21"/>
              </w:rPr>
              <w:t>）</w:t>
            </w:r>
            <w:r>
              <w:rPr>
                <w:w w:val="95"/>
                <w:sz w:val="21"/>
              </w:rPr>
              <w:t>日期，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工商登记号，住所及其邮政编码，经营范围。</w:t>
            </w: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5.2.2 地方政府融资平台（如有）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0"/>
              <w:ind w:left="108" w:right="35"/>
              <w:rPr>
                <w:sz w:val="21"/>
              </w:rPr>
            </w:pPr>
            <w:r>
              <w:rPr>
                <w:w w:val="95"/>
                <w:sz w:val="21"/>
              </w:rPr>
              <w:t>按照《国务院关于加强地方政府融资平台管理有关问题的通 </w:t>
            </w:r>
            <w:r>
              <w:rPr>
                <w:sz w:val="21"/>
              </w:rPr>
              <w:t>知》（国发〔2010〕19 号）的相关定义逐条详细论述并出具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明确结论。</w:t>
            </w:r>
          </w:p>
        </w:tc>
      </w:tr>
      <w:tr>
        <w:trPr>
          <w:trHeight w:val="1247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5.2.3 历史沿革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2"/>
              <w:ind w:left="108" w:right="96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以主要实体的历史承继关系为主线，披露企业设立、历史沿 </w:t>
            </w:r>
            <w:r>
              <w:rPr>
                <w:spacing w:val="-2"/>
                <w:w w:val="95"/>
                <w:sz w:val="21"/>
              </w:rPr>
              <w:t>革、经历的改制重组及股本结构的历次变动；披露历史上改 </w:t>
            </w:r>
            <w:r>
              <w:rPr>
                <w:spacing w:val="-3"/>
                <w:w w:val="95"/>
                <w:sz w:val="21"/>
              </w:rPr>
              <w:t>制、重大增减资、合并、分立、破产重整及更名等代表企业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阶段性进程的重要事件。</w:t>
            </w:r>
          </w:p>
        </w:tc>
      </w:tr>
      <w:tr>
        <w:trPr>
          <w:trHeight w:val="218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5.2.4 股权结构及股东情况</w:t>
            </w:r>
          </w:p>
        </w:tc>
        <w:tc>
          <w:tcPr>
            <w:tcW w:w="5670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20" w:val="left" w:leader="none"/>
              </w:tabs>
              <w:spacing w:line="278" w:lineRule="auto" w:before="21" w:after="0"/>
              <w:ind w:left="108" w:right="99" w:firstLine="0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披露股权结构、股东情况及持股比例，实际控制人披露到 </w:t>
            </w:r>
            <w:r>
              <w:rPr>
                <w:spacing w:val="-2"/>
                <w:w w:val="95"/>
                <w:sz w:val="21"/>
              </w:rPr>
              <w:t>最终的国有控股主体或自然人为止；控股股东或实际控制人 </w:t>
            </w:r>
            <w:r>
              <w:rPr>
                <w:spacing w:val="-2"/>
                <w:sz w:val="21"/>
              </w:rPr>
              <w:t>持有的融资主体股份被质押的情况；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0" w:val="left" w:leader="none"/>
              </w:tabs>
              <w:spacing w:line="278" w:lineRule="auto" w:before="0" w:after="0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如相关主体股东中涉及基金或者有限合伙企业的，应详细 </w:t>
            </w:r>
            <w:r>
              <w:rPr>
                <w:spacing w:val="-2"/>
                <w:w w:val="95"/>
                <w:sz w:val="21"/>
              </w:rPr>
              <w:t>披露基金或者有限合伙企业的各项基本情况，包括但不限于 </w:t>
            </w:r>
            <w:r>
              <w:rPr>
                <w:spacing w:val="-3"/>
                <w:sz w:val="21"/>
              </w:rPr>
              <w:t>管理人基本信息及股东背景， </w:t>
            </w:r>
            <w:r>
              <w:rPr>
                <w:sz w:val="21"/>
              </w:rPr>
              <w:t>GP、LP</w:t>
            </w:r>
            <w:r>
              <w:rPr>
                <w:spacing w:val="-8"/>
                <w:sz w:val="21"/>
              </w:rPr>
              <w:t> 等主体情况，是否存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在一致行动人、是否存在明股实债等情况。</w:t>
            </w:r>
          </w:p>
        </w:tc>
      </w:tr>
      <w:tr>
        <w:trPr>
          <w:trHeight w:val="187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5.2.5 子公司情况列表（如有）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1"/>
              <w:ind w:left="108" w:right="96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披露子公司范围包括但不限于合并报表范围内的子公司、对 </w:t>
            </w:r>
            <w:r>
              <w:rPr>
                <w:spacing w:val="-3"/>
                <w:w w:val="95"/>
                <w:sz w:val="21"/>
              </w:rPr>
              <w:t>企业影响重大的子公司、对收入占比较高、资产占比较高等 </w:t>
            </w:r>
            <w:r>
              <w:rPr>
                <w:spacing w:val="-4"/>
                <w:w w:val="95"/>
                <w:sz w:val="21"/>
              </w:rPr>
              <w:t>影响重大的参股企业及其他对企业有重大影响的关联方，比 </w:t>
            </w:r>
            <w:r>
              <w:rPr>
                <w:spacing w:val="-8"/>
                <w:sz w:val="21"/>
              </w:rPr>
              <w:t>照子公司进行披露。对于持股比例小于 </w:t>
            </w:r>
            <w:r>
              <w:rPr>
                <w:sz w:val="21"/>
              </w:rPr>
              <w:t>50%但纳入合并范围</w:t>
            </w:r>
            <w:r>
              <w:rPr>
                <w:spacing w:val="-12"/>
                <w:sz w:val="21"/>
              </w:rPr>
              <w:t>以及超过 </w:t>
            </w:r>
            <w:r>
              <w:rPr>
                <w:sz w:val="21"/>
              </w:rPr>
              <w:t>50%但未纳入合并范围内的，应披露原因。相关数</w:t>
            </w:r>
          </w:p>
          <w:p>
            <w:pPr>
              <w:pStyle w:val="TableParagraph"/>
              <w:spacing w:line="268" w:lineRule="exact"/>
              <w:ind w:left="108"/>
              <w:rPr>
                <w:sz w:val="21"/>
              </w:rPr>
            </w:pPr>
            <w:r>
              <w:rPr>
                <w:sz w:val="21"/>
              </w:rPr>
              <w:t>据以融资主体最近一期经审计的披露口径为准。</w:t>
            </w: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5.2.6 公司治理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治理结构、内部控制、内部关联关系以及资金占用等情况。</w:t>
            </w:r>
          </w:p>
        </w:tc>
      </w:tr>
      <w:tr>
        <w:trPr>
          <w:trHeight w:val="310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5.2.7 企业人员基本情况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披露员工情况、董事、监事及高级管理人员姓名、职位及简</w:t>
            </w:r>
          </w:p>
        </w:tc>
      </w:tr>
    </w:tbl>
    <w:p>
      <w:pPr>
        <w:spacing w:after="0"/>
        <w:rPr>
          <w:sz w:val="21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311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要简历等。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5.2.8 主营业务所处行业情况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包括但不限于行业现状、行业前景、国家战略或行业政策导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向等内容。</w:t>
            </w:r>
          </w:p>
        </w:tc>
      </w:tr>
      <w:tr>
        <w:trPr>
          <w:trHeight w:val="62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5.2.9 信用记录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pacing w:val="-29"/>
                <w:sz w:val="21"/>
              </w:rPr>
              <w:t>近 </w:t>
            </w:r>
            <w:r>
              <w:rPr>
                <w:sz w:val="21"/>
              </w:rPr>
              <w:t>2</w:t>
            </w:r>
            <w:r>
              <w:rPr>
                <w:spacing w:val="-8"/>
                <w:sz w:val="21"/>
              </w:rPr>
              <w:t> 年信用记录，过往保险资金使用及偿付情况</w:t>
            </w:r>
            <w:r>
              <w:rPr>
                <w:sz w:val="21"/>
              </w:rPr>
              <w:t>（如有），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以及是否存在重大不良记录。</w:t>
            </w:r>
          </w:p>
        </w:tc>
      </w:tr>
      <w:tr>
        <w:trPr>
          <w:trHeight w:val="1247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5.2.10 业务情况及竞争优势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2"/>
              <w:ind w:left="108" w:right="96"/>
              <w:rPr>
                <w:sz w:val="21"/>
              </w:rPr>
            </w:pPr>
            <w:r>
              <w:rPr>
                <w:w w:val="95"/>
                <w:sz w:val="21"/>
              </w:rPr>
              <w:t>1</w:t>
            </w:r>
            <w:r>
              <w:rPr>
                <w:spacing w:val="-1"/>
                <w:w w:val="95"/>
                <w:sz w:val="21"/>
              </w:rPr>
              <w:t>.对公司的主营业务进行介绍，公司业务所需资质的取得情 </w:t>
            </w:r>
            <w:r>
              <w:rPr>
                <w:spacing w:val="-1"/>
                <w:sz w:val="21"/>
              </w:rPr>
              <w:t>况；介绍公司的行业地位、市场、技术、资源等竞争优势 </w:t>
            </w:r>
            <w:r>
              <w:rPr>
                <w:spacing w:val="-1"/>
                <w:w w:val="95"/>
                <w:sz w:val="21"/>
              </w:rPr>
              <w:t>2</w:t>
            </w:r>
            <w:r>
              <w:rPr>
                <w:spacing w:val="-2"/>
                <w:w w:val="95"/>
                <w:sz w:val="21"/>
              </w:rPr>
              <w:t>.以融资主体经营性收入作为还款来源的，如营业收入涉及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财政资金的，应说明是否已纳入地方政府财政预算。</w:t>
            </w: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5.2.11 未来发展规划或战略（如有）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z w:val="21"/>
              </w:rPr>
              <w:t>未来 3-10 年的发展规划和战略。</w:t>
            </w: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5.2.12 主要财务状况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1"/>
              <w:ind w:left="108" w:right="9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披露经审计的三年及最近一期资产负债表、利润表及现金流 </w:t>
            </w:r>
            <w:r>
              <w:rPr>
                <w:spacing w:val="-1"/>
                <w:sz w:val="21"/>
              </w:rPr>
              <w:t>量表，注明数据来源，并分析主要财务指标等。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企业编制合并财务报表的，同时披露合并财务报表。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5.2.13 主要工程情况（如有）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z w:val="21"/>
              </w:rPr>
              <w:t>包括但不限于工程名称、主要建设内容、总投金额、已投资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sz w:val="21"/>
              </w:rPr>
              <w:t>金额、建设计划及现状、资本金到位情况等。</w:t>
            </w: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5.2.14 现金流测算（情景测试）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5.2.15 或有事项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披露最近一期对外担保、未决诉讼（仲裁）、重大承诺及其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他或有事项。</w:t>
            </w: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5.3 委托人/投资人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5.4 受益人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5.5 托管人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5.6 法律顾问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5.7 信用评级机构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5.8 其他机构（如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有）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311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0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第六章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8" w:lineRule="auto"/>
              <w:ind w:left="322" w:right="96" w:hanging="209"/>
              <w:rPr>
                <w:b/>
                <w:sz w:val="21"/>
              </w:rPr>
            </w:pPr>
            <w:r>
              <w:rPr>
                <w:b/>
                <w:sz w:val="21"/>
              </w:rPr>
              <w:t>6.投资可行性分析</w:t>
            </w:r>
          </w:p>
        </w:tc>
        <w:tc>
          <w:tcPr>
            <w:tcW w:w="198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0"/>
              <w:ind w:left="387"/>
              <w:rPr>
                <w:sz w:val="21"/>
              </w:rPr>
            </w:pPr>
            <w:r>
              <w:rPr>
                <w:sz w:val="21"/>
              </w:rPr>
              <w:t>6.1 投资项目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6.1.1 投资项目概况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投资项目类别、所属行业、所在区域情况等。</w:t>
            </w: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6.1.2 投资项目权属情况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0"/>
              <w:ind w:left="108" w:right="99"/>
              <w:rPr>
                <w:sz w:val="21"/>
              </w:rPr>
            </w:pPr>
            <w:r>
              <w:rPr>
                <w:sz w:val="21"/>
              </w:rPr>
              <w:t>投资项目权属情况：包括但不限于融资主体对项目的控制 </w:t>
            </w:r>
            <w:r>
              <w:rPr>
                <w:spacing w:val="-1"/>
                <w:w w:val="95"/>
                <w:sz w:val="21"/>
              </w:rPr>
              <w:t>力、与投资项目相关的抵质押情况、与投资项目相关的未决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诉讼等。</w:t>
            </w: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6.1.3 投资项目建设内容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披露投资项目的具体建设内容。</w:t>
            </w:r>
          </w:p>
        </w:tc>
      </w:tr>
      <w:tr>
        <w:trPr>
          <w:trHeight w:val="1559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6.1.4 投资项目证照与批复情况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2"/>
              <w:ind w:left="108" w:right="96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投资项目证照与批复情况：披露项目批复文件，项目的审批 </w:t>
            </w:r>
            <w:r>
              <w:rPr>
                <w:spacing w:val="-2"/>
                <w:w w:val="95"/>
                <w:sz w:val="21"/>
              </w:rPr>
              <w:t>层级；项目立项、开发、建设、运营等履行的法定程序</w:t>
            </w:r>
            <w:r>
              <w:rPr>
                <w:w w:val="95"/>
                <w:sz w:val="21"/>
              </w:rPr>
              <w:t>（包 </w:t>
            </w:r>
            <w:r>
              <w:rPr>
                <w:spacing w:val="-1"/>
                <w:w w:val="95"/>
                <w:sz w:val="21"/>
              </w:rPr>
              <w:t>括但不限于土地、环保、立项批复情况等合规性文件、项目 满足现行环保及产业政策的情况</w:t>
            </w:r>
            <w:r>
              <w:rPr>
                <w:spacing w:val="-3"/>
                <w:w w:val="95"/>
                <w:sz w:val="21"/>
              </w:rPr>
              <w:t>）；</w:t>
            </w:r>
            <w:r>
              <w:rPr>
                <w:w w:val="95"/>
                <w:sz w:val="21"/>
              </w:rPr>
              <w:t>项目实际情况如与相关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审批文件内容有差异的是否需要重新履行审批手续等。</w:t>
            </w:r>
          </w:p>
        </w:tc>
      </w:tr>
      <w:tr>
        <w:trPr>
          <w:trHeight w:val="62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7"/>
              <w:ind w:left="107"/>
              <w:rPr>
                <w:sz w:val="21"/>
              </w:rPr>
            </w:pPr>
            <w:r>
              <w:rPr>
                <w:sz w:val="21"/>
              </w:rPr>
              <w:t>6.1.5 投资项目的总投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披露投资项目的总投</w:t>
            </w:r>
            <w:r>
              <w:rPr>
                <w:w w:val="95"/>
                <w:sz w:val="21"/>
              </w:rPr>
              <w:t>（</w:t>
            </w:r>
            <w:r>
              <w:rPr>
                <w:spacing w:val="-1"/>
                <w:w w:val="95"/>
                <w:sz w:val="21"/>
              </w:rPr>
              <w:t>是否与批复文件一致，如存在差异披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w w:val="95"/>
                <w:sz w:val="21"/>
              </w:rPr>
              <w:t>露原因）明确项目资本金符合国家有关资本金制度的规定。</w:t>
            </w:r>
          </w:p>
        </w:tc>
      </w:tr>
      <w:tr>
        <w:trPr>
          <w:trHeight w:val="935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6.1.6 投资项目建设进度及资金投入情况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1"/>
              <w:ind w:left="108" w:right="92"/>
              <w:rPr>
                <w:sz w:val="21"/>
              </w:rPr>
            </w:pPr>
            <w:r>
              <w:rPr>
                <w:w w:val="95"/>
                <w:sz w:val="21"/>
              </w:rPr>
              <w:t>投资项目建设进度、资金投入情况（包括但不限于：已投、 </w:t>
            </w:r>
            <w:r>
              <w:rPr>
                <w:spacing w:val="-1"/>
                <w:w w:val="95"/>
                <w:sz w:val="21"/>
              </w:rPr>
              <w:t>资金来源、资本金筹措方式与到位情况。</w:t>
            </w:r>
            <w:r>
              <w:rPr>
                <w:w w:val="95"/>
                <w:sz w:val="21"/>
              </w:rPr>
              <w:t>）在建项目披露施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工进度情况；已完工项目披露运营情况。</w:t>
            </w: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6.1.7 投资项目的融资情况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1"/>
              <w:ind w:left="108" w:right="99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投资项目的融资情况：如存在金融机构借款，披露包括但不 </w:t>
            </w:r>
            <w:r>
              <w:rPr>
                <w:spacing w:val="-3"/>
                <w:w w:val="95"/>
                <w:sz w:val="21"/>
              </w:rPr>
              <w:t>限于金融机构名称、借款额度、提款使用及到期情况、是否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存在限制性融资条款、是否存在超额融资情况等。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6.1.8 投资项目保险资金使用情况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如项目曾使用保险资金，应披露详细情况（包括但不限于计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划名称、提款情况、资金使用情况、是否存续等）。</w:t>
            </w:r>
          </w:p>
        </w:tc>
      </w:tr>
      <w:tr>
        <w:trPr>
          <w:trHeight w:val="62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6.1.9 投资项目抵质押情况（如有）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如还款来源包含投资项目销售收入，应说明抵押期间，项目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销售是否存在限制性条款，是否会影响本产品本息偿还。</w:t>
            </w:r>
          </w:p>
        </w:tc>
      </w:tr>
      <w:tr>
        <w:trPr>
          <w:trHeight w:val="93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6.1.10 投资项目现金流测算</w:t>
            </w:r>
          </w:p>
        </w:tc>
        <w:tc>
          <w:tcPr>
            <w:tcW w:w="5670" w:type="dxa"/>
          </w:tcPr>
          <w:p>
            <w:pPr>
              <w:pStyle w:val="TableParagraph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投资项目现金流测算：现金流测算基本假设以及假设的依</w:t>
            </w:r>
          </w:p>
          <w:p>
            <w:pPr>
              <w:pStyle w:val="TableParagraph"/>
              <w:spacing w:line="310" w:lineRule="atLeast" w:before="2"/>
              <w:ind w:left="108" w:right="99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据、现金流测算</w:t>
            </w:r>
            <w:r>
              <w:rPr>
                <w:w w:val="95"/>
                <w:sz w:val="21"/>
              </w:rPr>
              <w:t>（含权设计的项目应对行权情况进行现金流 </w:t>
            </w:r>
            <w:r>
              <w:rPr>
                <w:sz w:val="21"/>
              </w:rPr>
              <w:t>测算）</w:t>
            </w:r>
          </w:p>
        </w:tc>
      </w:tr>
    </w:tbl>
    <w:p>
      <w:pPr>
        <w:spacing w:after="0" w:line="310" w:lineRule="atLeast"/>
        <w:rPr>
          <w:sz w:val="21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142" w:right="1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88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1560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20" w:val="left" w:leader="none"/>
              </w:tabs>
              <w:spacing w:line="278" w:lineRule="auto" w:before="20" w:after="0"/>
              <w:ind w:left="108" w:right="92" w:firstLine="0"/>
              <w:jc w:val="left"/>
              <w:rPr>
                <w:sz w:val="21"/>
              </w:rPr>
            </w:pPr>
            <w:r>
              <w:rPr>
                <w:w w:val="95"/>
                <w:sz w:val="21"/>
              </w:rPr>
              <w:t>如投资项目为公益性项目，应根据财政部相关文件定义， </w:t>
            </w:r>
            <w:r>
              <w:rPr>
                <w:sz w:val="21"/>
              </w:rPr>
              <w:t>结合项目实际情况进行论述并出具明确意见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0" w:val="left" w:leader="none"/>
              </w:tabs>
              <w:spacing w:line="278" w:lineRule="auto" w:before="0" w:after="0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还款来源涉及地方财政的，应对融资主体举借债务的行为 </w:t>
            </w:r>
            <w:r>
              <w:rPr>
                <w:spacing w:val="-2"/>
                <w:w w:val="95"/>
                <w:sz w:val="21"/>
              </w:rPr>
              <w:t>是否符合国家有关地方政府性债务管理的相关文件要求、是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否新增地方政府债务出具明确的合规结论。</w:t>
            </w: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6.1.11 投资项目可行性结论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76"/>
              <w:rPr>
                <w:sz w:val="21"/>
              </w:rPr>
            </w:pPr>
            <w:r>
              <w:rPr>
                <w:sz w:val="21"/>
              </w:rPr>
              <w:t>6.2 信用增级分析</w:t>
            </w:r>
          </w:p>
          <w:p>
            <w:pPr>
              <w:pStyle w:val="TableParagraph"/>
              <w:spacing w:before="43"/>
              <w:ind w:left="572"/>
              <w:rPr>
                <w:sz w:val="21"/>
              </w:rPr>
            </w:pPr>
            <w:r>
              <w:rPr>
                <w:sz w:val="21"/>
              </w:rPr>
              <w:t>（如有）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6.2.1 担保人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与融资主体保持同一披露口径。</w:t>
            </w:r>
          </w:p>
        </w:tc>
      </w:tr>
      <w:tr>
        <w:trPr>
          <w:trHeight w:val="2808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0"/>
              <w:ind w:left="107"/>
              <w:rPr>
                <w:sz w:val="21"/>
              </w:rPr>
            </w:pPr>
            <w:r>
              <w:rPr>
                <w:sz w:val="21"/>
              </w:rPr>
              <w:t>6.2.3 抵/质押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2"/>
              <w:ind w:left="108" w:right="96"/>
              <w:jc w:val="both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抵押：披露内容包括但不限于抵押物情况、抵押物权属证照 </w:t>
            </w:r>
            <w:r>
              <w:rPr>
                <w:spacing w:val="-3"/>
                <w:w w:val="95"/>
                <w:sz w:val="21"/>
              </w:rPr>
              <w:t>情况、抵押物估值情况、抵押手续后续办理约定、后续对抵 押物替换的安排（如有）、抵押物跟踪估值、抵押物租约情 </w:t>
            </w:r>
            <w:r>
              <w:rPr>
                <w:spacing w:val="-3"/>
                <w:sz w:val="21"/>
              </w:rPr>
              <w:t>况（如有）等。</w:t>
            </w:r>
          </w:p>
          <w:p>
            <w:pPr>
              <w:pStyle w:val="TableParagraph"/>
              <w:spacing w:line="278" w:lineRule="auto"/>
              <w:ind w:left="108" w:right="99"/>
              <w:jc w:val="both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质押：披露内容包括但不限于质押物的确定、质押程序的安 排、质押物情况、后续对质押物替换的安排（如有）、法律 </w:t>
            </w:r>
            <w:r>
              <w:rPr>
                <w:spacing w:val="-2"/>
                <w:sz w:val="21"/>
              </w:rPr>
              <w:t>对质押的规定等。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建议详细披露抵/质押评估报告内容；以及外部律师对抵/质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sz w:val="21"/>
              </w:rPr>
              <w:t>押担保的合法有效性出具的法律意见。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7"/>
              <w:ind w:left="107"/>
              <w:rPr>
                <w:sz w:val="21"/>
              </w:rPr>
            </w:pPr>
            <w:r>
              <w:rPr>
                <w:sz w:val="21"/>
              </w:rPr>
              <w:t>6.2.4 其他信用增级方式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108"/>
              <w:rPr>
                <w:sz w:val="21"/>
              </w:rPr>
            </w:pPr>
            <w:r>
              <w:rPr>
                <w:sz w:val="21"/>
              </w:rPr>
              <w:t>按照银保监会认可的其他合法有效的信用增级方式的相关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规定及要求进行披露。</w:t>
            </w: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6.2.5 信用增级安排的合规情况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1"/>
              <w:ind w:left="108" w:right="92"/>
              <w:rPr>
                <w:sz w:val="21"/>
              </w:rPr>
            </w:pPr>
            <w:r>
              <w:rPr>
                <w:w w:val="95"/>
                <w:sz w:val="21"/>
              </w:rPr>
              <w:t>信用增级安排的合规情况：根据《债权投资计划实施细则》 </w:t>
            </w:r>
            <w:r>
              <w:rPr>
                <w:spacing w:val="-1"/>
                <w:w w:val="95"/>
                <w:sz w:val="21"/>
              </w:rPr>
              <w:t>之相关要求逐条论述</w:t>
            </w:r>
            <w:r>
              <w:rPr>
                <w:w w:val="95"/>
                <w:sz w:val="21"/>
              </w:rPr>
              <w:t>（</w:t>
            </w:r>
            <w:r>
              <w:rPr>
                <w:spacing w:val="-1"/>
                <w:w w:val="95"/>
                <w:sz w:val="21"/>
              </w:rPr>
              <w:t>如项目为免增信，则在融资主体分析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>中需对适用免增信的各项指标进行披露）。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6.2.6 风险缓释措施（如有）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sz w:val="21"/>
              </w:rPr>
              <w:t>风险缓释措施（如有）：根据实际情况披露风险缓释措施的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>安排以及与风险缓释措施相关主体的情况。</w:t>
            </w:r>
          </w:p>
        </w:tc>
      </w:tr>
      <w:tr>
        <w:trPr>
          <w:trHeight w:val="622" w:hRule="atLeast"/>
        </w:trPr>
        <w:tc>
          <w:tcPr>
            <w:tcW w:w="959" w:type="dxa"/>
          </w:tcPr>
          <w:p>
            <w:pPr>
              <w:pStyle w:val="TableParagraph"/>
              <w:spacing w:before="176"/>
              <w:ind w:left="142" w:right="1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第七章</w:t>
            </w:r>
          </w:p>
        </w:tc>
        <w:tc>
          <w:tcPr>
            <w:tcW w:w="1276" w:type="dxa"/>
          </w:tcPr>
          <w:p>
            <w:pPr>
              <w:pStyle w:val="TableParagraph"/>
              <w:spacing w:before="176"/>
              <w:ind w:left="92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7.专业机构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7.1 信用评级机构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评估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披露信用评级机构对债权投资计划及相关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主体的评级结论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623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7.2 法律服务机构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评估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披露法律服务机构对债权投资计划的结论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性意见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7.3 其他专业机构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评估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披露其他专业机构对债权投资计划的结论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性意见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71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0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第八章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78" w:lineRule="auto"/>
              <w:ind w:left="113" w:right="99" w:hanging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8.产品登 </w:t>
            </w:r>
            <w:r>
              <w:rPr>
                <w:b/>
                <w:spacing w:val="-4"/>
                <w:sz w:val="21"/>
              </w:rPr>
              <w:t>记、发行与</w:t>
            </w:r>
            <w:r>
              <w:rPr>
                <w:b/>
                <w:sz w:val="21"/>
              </w:rPr>
              <w:t>交易安排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8" w:lineRule="auto"/>
              <w:ind w:left="107" w:right="98"/>
              <w:rPr>
                <w:sz w:val="21"/>
              </w:rPr>
            </w:pPr>
            <w:r>
              <w:rPr>
                <w:sz w:val="21"/>
              </w:rPr>
              <w:t>8.1</w:t>
            </w:r>
            <w:r>
              <w:rPr>
                <w:spacing w:val="-19"/>
                <w:sz w:val="21"/>
              </w:rPr>
              <w:t> 登记、募集和发</w:t>
            </w:r>
            <w:r>
              <w:rPr>
                <w:sz w:val="21"/>
              </w:rPr>
              <w:t>行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0"/>
              <w:ind w:left="107" w:right="98"/>
              <w:jc w:val="both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披露内容包括但不限于：登记程序、募集时 </w:t>
            </w:r>
            <w:r>
              <w:rPr>
                <w:spacing w:val="-13"/>
                <w:w w:val="95"/>
                <w:sz w:val="21"/>
              </w:rPr>
              <w:t>限与募集规模、最低募集规模、具体募集次 </w:t>
            </w:r>
            <w:r>
              <w:rPr>
                <w:spacing w:val="-11"/>
                <w:w w:val="95"/>
                <w:sz w:val="21"/>
              </w:rPr>
              <w:t>数、募集对象、募集原则、募集程序、募集</w:t>
            </w:r>
            <w:r>
              <w:rPr>
                <w:spacing w:val="-15"/>
                <w:w w:val="95"/>
                <w:sz w:val="21"/>
              </w:rPr>
              <w:t>期委托资金利息的处理方式、产品设立条件</w:t>
            </w:r>
            <w:r>
              <w:rPr>
                <w:spacing w:val="-15"/>
                <w:sz w:val="21"/>
              </w:rPr>
              <w:t>以及设立失败后续处理措施，以及发行方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式、投资者适当性管理等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8.2 受益凭证要素</w:t>
            </w:r>
          </w:p>
        </w:tc>
        <w:tc>
          <w:tcPr>
            <w:tcW w:w="4111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明确受益凭证的相关要素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8.3</w:t>
            </w:r>
            <w:r>
              <w:rPr>
                <w:spacing w:val="-8"/>
                <w:sz w:val="21"/>
              </w:rPr>
              <w:t> 受益凭证登记、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转让及交易</w:t>
            </w:r>
          </w:p>
        </w:tc>
        <w:tc>
          <w:tcPr>
            <w:tcW w:w="4111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披露内容包括但不限于：受益人条件、受益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凭证的登记交易程序等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60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6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第九章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78" w:lineRule="auto"/>
              <w:ind w:left="427" w:right="96" w:hanging="315"/>
              <w:rPr>
                <w:b/>
                <w:sz w:val="21"/>
              </w:rPr>
            </w:pPr>
            <w:r>
              <w:rPr>
                <w:b/>
                <w:sz w:val="21"/>
              </w:rPr>
              <w:t>9.产品后续管理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8" w:lineRule="auto"/>
              <w:ind w:left="107" w:right="172"/>
              <w:rPr>
                <w:sz w:val="21"/>
              </w:rPr>
            </w:pPr>
            <w:r>
              <w:rPr>
                <w:sz w:val="21"/>
              </w:rPr>
              <w:t>9.1 受托人对产品的管理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1"/>
              <w:ind w:left="107" w:right="98"/>
              <w:jc w:val="both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受托人对产品的管理：受托人根据《受托合</w:t>
            </w:r>
            <w:r>
              <w:rPr>
                <w:spacing w:val="-11"/>
                <w:w w:val="95"/>
                <w:sz w:val="21"/>
              </w:rPr>
              <w:t>同》等投资计划法律文件的约定对产品进行 </w:t>
            </w:r>
            <w:r>
              <w:rPr>
                <w:spacing w:val="-12"/>
                <w:w w:val="95"/>
                <w:sz w:val="21"/>
              </w:rPr>
              <w:t>管理，指定专人对融资主体、信用增级、投 </w:t>
            </w:r>
            <w:r>
              <w:rPr>
                <w:spacing w:val="-16"/>
                <w:w w:val="95"/>
                <w:sz w:val="21"/>
              </w:rPr>
              <w:t>资项目等跟踪管理和持续监测，及时掌握资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金使用及投资项目运营情况等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9.2 托管人对产品</w:t>
            </w:r>
          </w:p>
          <w:p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sz w:val="21"/>
              </w:rPr>
              <w:t>的管理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9.3 风险管理措施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9.4 独立监督人对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产品的监督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9.5 受益人对产品</w:t>
            </w:r>
          </w:p>
          <w:p>
            <w:pPr>
              <w:pStyle w:val="TableParagraph"/>
              <w:spacing w:line="268" w:lineRule="exact" w:before="43"/>
              <w:ind w:left="107"/>
              <w:rPr>
                <w:sz w:val="21"/>
              </w:rPr>
            </w:pPr>
            <w:r>
              <w:rPr>
                <w:sz w:val="21"/>
              </w:rPr>
              <w:t>的管理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1984"/>
        <w:gridCol w:w="4111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  <w:gridSpan w:val="2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  <w:tr>
        <w:trPr>
          <w:trHeight w:val="623" w:hRule="atLeast"/>
        </w:trPr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9.6 其他后续管理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相关事项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第十章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78" w:lineRule="auto" w:before="119"/>
              <w:ind w:left="113" w:right="99" w:hanging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10.产品的</w:t>
            </w:r>
            <w:r>
              <w:rPr>
                <w:b/>
                <w:spacing w:val="-4"/>
                <w:sz w:val="21"/>
              </w:rPr>
              <w:t>终止、清算</w:t>
            </w:r>
            <w:r>
              <w:rPr>
                <w:b/>
                <w:sz w:val="21"/>
              </w:rPr>
              <w:t>和退出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10.1 终止条件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10.2 清算原则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10.3 清算实施</w:t>
            </w:r>
          </w:p>
        </w:tc>
        <w:tc>
          <w:tcPr>
            <w:tcW w:w="4111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包括但不限于清算机构、清算流程等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10.4 退出安排（如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有）</w:t>
            </w:r>
          </w:p>
        </w:tc>
        <w:tc>
          <w:tcPr>
            <w:tcW w:w="4111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产品的退出方式，退出时点，退出机制和相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关安排，损失承担方式与承担主体等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8" w:lineRule="auto"/>
              <w:ind w:left="374" w:right="15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第十一章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8" w:lineRule="auto"/>
              <w:ind w:left="533" w:right="151" w:hanging="370"/>
              <w:rPr>
                <w:b/>
                <w:sz w:val="21"/>
              </w:rPr>
            </w:pPr>
            <w:r>
              <w:rPr>
                <w:b/>
                <w:sz w:val="21"/>
              </w:rPr>
              <w:t>11.违约责任</w:t>
            </w:r>
          </w:p>
        </w:tc>
        <w:tc>
          <w:tcPr>
            <w:tcW w:w="1984" w:type="dxa"/>
          </w:tcPr>
          <w:p>
            <w:pPr>
              <w:pStyle w:val="TableParagraph"/>
              <w:spacing w:before="177"/>
              <w:ind w:left="107"/>
              <w:rPr>
                <w:sz w:val="21"/>
              </w:rPr>
            </w:pPr>
            <w:r>
              <w:rPr>
                <w:sz w:val="21"/>
              </w:rPr>
              <w:t>11.1 违约事件</w:t>
            </w:r>
          </w:p>
        </w:tc>
        <w:tc>
          <w:tcPr>
            <w:tcW w:w="4111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与投资合同、托管合同、受托合同等法律文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件中的条款保持一致</w:t>
            </w:r>
          </w:p>
        </w:tc>
        <w:tc>
          <w:tcPr>
            <w:tcW w:w="5670" w:type="dxa"/>
          </w:tcPr>
          <w:p>
            <w:pPr>
              <w:pStyle w:val="TableParagraph"/>
              <w:spacing w:before="177"/>
              <w:ind w:left="108"/>
              <w:rPr>
                <w:sz w:val="21"/>
              </w:rPr>
            </w:pPr>
            <w:r>
              <w:rPr>
                <w:sz w:val="21"/>
              </w:rPr>
              <w:t>包括但不限于本金利息支付违约、解散、进入破产程序等。</w:t>
            </w: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176"/>
              <w:ind w:left="107"/>
              <w:rPr>
                <w:sz w:val="21"/>
              </w:rPr>
            </w:pPr>
            <w:r>
              <w:rPr>
                <w:sz w:val="21"/>
              </w:rPr>
              <w:t>11.2 违约责任</w:t>
            </w:r>
          </w:p>
        </w:tc>
        <w:tc>
          <w:tcPr>
            <w:tcW w:w="4111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与投资合同、托管合同、受托合同等法律文</w:t>
            </w:r>
          </w:p>
          <w:p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sz w:val="21"/>
              </w:rPr>
              <w:t>件中的条款保持一致</w:t>
            </w:r>
          </w:p>
        </w:tc>
        <w:tc>
          <w:tcPr>
            <w:tcW w:w="5670" w:type="dxa"/>
          </w:tcPr>
          <w:p>
            <w:pPr>
              <w:pStyle w:val="TableParagraph"/>
              <w:spacing w:before="176"/>
              <w:ind w:left="108"/>
              <w:rPr>
                <w:sz w:val="21"/>
              </w:rPr>
            </w:pPr>
            <w:r>
              <w:rPr>
                <w:sz w:val="21"/>
              </w:rPr>
              <w:t>明确违约责任的认定、违约金条款、违约金计算标准等。</w:t>
            </w:r>
          </w:p>
        </w:tc>
      </w:tr>
      <w:tr>
        <w:trPr>
          <w:trHeight w:val="623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78" w:lineRule="auto" w:before="120"/>
              <w:ind w:left="374" w:right="15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第十二章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78" w:lineRule="auto" w:before="120"/>
              <w:ind w:left="533" w:right="151" w:hanging="370"/>
              <w:rPr>
                <w:b/>
                <w:sz w:val="21"/>
              </w:rPr>
            </w:pPr>
            <w:r>
              <w:rPr>
                <w:b/>
                <w:sz w:val="21"/>
              </w:rPr>
              <w:t>12.信息披露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12.1 受托人应履行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的披露义务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根据监管规定以及自身情况明确信息披露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内容及时间节点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12.2 托管人应履行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的披露义务</w:t>
            </w:r>
          </w:p>
        </w:tc>
        <w:tc>
          <w:tcPr>
            <w:tcW w:w="4111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根据监管规定以及自身情况明确信息披露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内容及时间节点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6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12.3 其他主体（如</w:t>
            </w:r>
          </w:p>
          <w:p>
            <w:pPr>
              <w:pStyle w:val="TableParagraph"/>
              <w:spacing w:line="310" w:lineRule="atLeast" w:before="2"/>
              <w:ind w:left="107" w:right="187"/>
              <w:rPr>
                <w:sz w:val="21"/>
              </w:rPr>
            </w:pPr>
            <w:r>
              <w:rPr>
                <w:sz w:val="21"/>
              </w:rPr>
              <w:t>有）应履行的披露义务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178"/>
              <w:ind w:left="107" w:right="213"/>
              <w:rPr>
                <w:sz w:val="21"/>
              </w:rPr>
            </w:pPr>
            <w:r>
              <w:rPr>
                <w:w w:val="95"/>
                <w:sz w:val="21"/>
              </w:rPr>
              <w:t>根据监管规定以及自身情况明确信息披露</w:t>
            </w:r>
            <w:r>
              <w:rPr>
                <w:sz w:val="21"/>
              </w:rPr>
              <w:t>内容及时间节点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6" w:hRule="atLeast"/>
        </w:trPr>
        <w:tc>
          <w:tcPr>
            <w:tcW w:w="959" w:type="dxa"/>
          </w:tcPr>
          <w:p>
            <w:pPr>
              <w:pStyle w:val="TableParagraph"/>
              <w:spacing w:line="278" w:lineRule="auto" w:before="177"/>
              <w:ind w:left="374" w:right="15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第十三章</w:t>
            </w:r>
          </w:p>
        </w:tc>
        <w:tc>
          <w:tcPr>
            <w:tcW w:w="1276" w:type="dxa"/>
          </w:tcPr>
          <w:p>
            <w:pPr>
              <w:pStyle w:val="TableParagraph"/>
              <w:spacing w:line="278" w:lineRule="auto" w:before="177"/>
              <w:ind w:left="427" w:right="151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13.各方联系人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13.1 基本信息</w:t>
            </w:r>
          </w:p>
        </w:tc>
        <w:tc>
          <w:tcPr>
            <w:tcW w:w="4111" w:type="dxa"/>
          </w:tcPr>
          <w:p>
            <w:pPr>
              <w:pStyle w:val="TableParagraph"/>
              <w:spacing w:line="278" w:lineRule="auto" w:before="21"/>
              <w:ind w:left="107" w:right="2"/>
              <w:rPr>
                <w:sz w:val="21"/>
              </w:rPr>
            </w:pPr>
            <w:r>
              <w:rPr>
                <w:sz w:val="21"/>
              </w:rPr>
              <w:t>披露相关主体的基本信息，包括名称、办公</w:t>
            </w:r>
            <w:r>
              <w:rPr>
                <w:w w:val="95"/>
                <w:sz w:val="21"/>
              </w:rPr>
              <w:t>地址、法定代表人、联系人、电话、传真、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邮编等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959" w:type="dxa"/>
            <w:vMerge w:val="restart"/>
          </w:tcPr>
          <w:p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8" w:lineRule="auto"/>
              <w:ind w:left="374" w:right="15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第十四章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8" w:lineRule="auto"/>
              <w:ind w:left="533" w:right="151" w:hanging="370"/>
              <w:rPr>
                <w:b/>
                <w:sz w:val="21"/>
              </w:rPr>
            </w:pPr>
            <w:r>
              <w:rPr>
                <w:b/>
                <w:sz w:val="21"/>
              </w:rPr>
              <w:t>14.备查文件</w:t>
            </w:r>
          </w:p>
        </w:tc>
        <w:tc>
          <w:tcPr>
            <w:tcW w:w="1984" w:type="dxa"/>
          </w:tcPr>
          <w:p>
            <w:pPr>
              <w:pStyle w:val="TableParagraph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14.1 本债权投资计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划的备查文件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14.2 备查文件置备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地点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top="1100" w:bottom="280" w:left="1220" w:right="13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1276"/>
        <w:gridCol w:w="6095"/>
        <w:gridCol w:w="5670"/>
      </w:tblGrid>
      <w:tr>
        <w:trPr>
          <w:trHeight w:val="312" w:hRule="atLeast"/>
        </w:trPr>
        <w:tc>
          <w:tcPr>
            <w:tcW w:w="959" w:type="dxa"/>
          </w:tcPr>
          <w:p>
            <w:pPr>
              <w:pStyle w:val="TableParagraph"/>
              <w:spacing w:before="21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章节</w:t>
            </w:r>
          </w:p>
        </w:tc>
        <w:tc>
          <w:tcPr>
            <w:tcW w:w="1276" w:type="dxa"/>
          </w:tcPr>
          <w:p>
            <w:pPr>
              <w:pStyle w:val="TableParagraph"/>
              <w:spacing w:before="21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章节名称</w:t>
            </w:r>
          </w:p>
        </w:tc>
        <w:tc>
          <w:tcPr>
            <w:tcW w:w="6095" w:type="dxa"/>
          </w:tcPr>
          <w:p>
            <w:pPr>
              <w:pStyle w:val="TableParagraph"/>
              <w:spacing w:before="21"/>
              <w:ind w:left="2606" w:right="25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主要内容</w:t>
            </w:r>
          </w:p>
        </w:tc>
        <w:tc>
          <w:tcPr>
            <w:tcW w:w="5670" w:type="dxa"/>
          </w:tcPr>
          <w:p>
            <w:pPr>
              <w:pStyle w:val="TableParagraph"/>
              <w:spacing w:before="21"/>
              <w:ind w:left="2184" w:right="2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信息披露要点</w:t>
            </w:r>
          </w:p>
        </w:tc>
      </w:tr>
    </w:tbl>
    <w:p>
      <w:pPr>
        <w:pStyle w:val="BodyText"/>
        <w:spacing w:before="7"/>
        <w:rPr>
          <w:rFonts w:ascii="Times New Roman"/>
          <w:b w:val="0"/>
          <w:sz w:val="21"/>
        </w:rPr>
      </w:pPr>
    </w:p>
    <w:p>
      <w:pPr>
        <w:pStyle w:val="BodyText"/>
        <w:spacing w:before="66"/>
        <w:ind w:left="220"/>
      </w:pPr>
      <w:r>
        <w:rPr/>
        <w:t>说明：本募集说明书信息披露指引仅列示了募集说明书最低信息披露要求，受托人应根据产品实际情况自行补充信息披露内容。</w:t>
      </w:r>
    </w:p>
    <w:sectPr>
      <w:pgSz w:w="16840" w:h="11910" w:orient="landscape"/>
      <w:pgMar w:top="1100" w:bottom="280" w:left="122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8" w:hanging="212"/>
        <w:jc w:val="left"/>
      </w:pPr>
      <w:rPr>
        <w:rFonts w:hint="default" w:ascii="宋体" w:hAnsi="宋体" w:eastAsia="宋体" w:cs="宋体"/>
        <w:spacing w:val="-2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656" w:hanging="212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212" w:hanging="212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768" w:hanging="212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324" w:hanging="212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880" w:hanging="212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436" w:hanging="212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992" w:hanging="212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4548" w:hanging="212"/>
      </w:pPr>
      <w:rPr>
        <w:rFonts w:hint="default"/>
        <w:lang w:val="zh-CN" w:eastAsia="zh-CN" w:bidi="zh-CN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8" w:hanging="212"/>
        <w:jc w:val="left"/>
      </w:pPr>
      <w:rPr>
        <w:rFonts w:hint="default" w:ascii="宋体" w:hAnsi="宋体" w:eastAsia="宋体" w:cs="宋体"/>
        <w:spacing w:val="-2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656" w:hanging="212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212" w:hanging="212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768" w:hanging="212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324" w:hanging="212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880" w:hanging="212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436" w:hanging="212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3992" w:hanging="212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4548" w:hanging="212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19" w:hanging="212"/>
        <w:jc w:val="left"/>
      </w:pPr>
      <w:rPr>
        <w:rFonts w:hint="default" w:ascii="宋体" w:hAnsi="宋体" w:eastAsia="宋体" w:cs="宋体"/>
        <w:spacing w:val="-2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854" w:hanging="212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388" w:hanging="212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922" w:hanging="212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456" w:hanging="212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990" w:hanging="212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3524" w:hanging="212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4058" w:hanging="212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4592" w:hanging="212"/>
      </w:pPr>
      <w:rPr>
        <w:rFonts w:hint="default"/>
        <w:lang w:val="zh-CN" w:eastAsia="zh-CN" w:bidi="zh-CN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贾月</dc:creator>
  <dcterms:created xsi:type="dcterms:W3CDTF">2022-09-27T08:54:34Z</dcterms:created>
  <dcterms:modified xsi:type="dcterms:W3CDTF">2022-09-27T08:54:34Z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2022-09-27T00:00:00Z</vt:filetime>
  </property>
</Properties>
</file>